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B6616">
      <w:pPr>
        <w:pStyle w:val="2"/>
        <w:keepNext/>
        <w:pageBreakBefore/>
        <w:spacing w:before="360" w:beforeLines="150" w:after="360" w:afterLines="150" w:line="360" w:lineRule="auto"/>
        <w:ind w:left="0"/>
        <w:jc w:val="center"/>
        <w:rPr>
          <w:color w:val="000000" w:themeColor="text1"/>
          <w14:textFill>
            <w14:solidFill>
              <w14:schemeClr w14:val="tx1"/>
            </w14:solidFill>
          </w14:textFill>
        </w:rPr>
      </w:pPr>
      <w:bookmarkStart w:id="0" w:name="_Toc29300"/>
      <w:r>
        <w:rPr>
          <w:color w:val="000000" w:themeColor="text1"/>
          <w14:textFill>
            <w14:solidFill>
              <w14:schemeClr w14:val="tx1"/>
            </w14:solidFill>
          </w14:textFill>
        </w:rPr>
        <w:t>三．市场分析</w:t>
      </w:r>
      <w:bookmarkEnd w:id="0"/>
    </w:p>
    <w:p w14:paraId="75D39BEE">
      <w:pPr>
        <w:pStyle w:val="3"/>
        <w:tabs>
          <w:tab w:val="left" w:pos="612"/>
        </w:tabs>
        <w:spacing w:line="360" w:lineRule="auto"/>
        <w:ind w:left="0" w:firstLine="0"/>
      </w:pPr>
      <w:bookmarkStart w:id="1" w:name="_Toc29344"/>
      <w:r>
        <w:rPr>
          <w:rFonts w:hint="eastAsia"/>
        </w:rPr>
        <w:t>3</w:t>
      </w:r>
      <w:r>
        <w:t>.1  行业现状分析</w:t>
      </w:r>
      <w:bookmarkEnd w:id="1"/>
    </w:p>
    <w:p w14:paraId="5D8E7CF3">
      <w:pPr>
        <w:pStyle w:val="5"/>
        <w:spacing w:line="360" w:lineRule="auto"/>
        <w:ind w:firstLine="460" w:firstLineChars="200"/>
        <w:rPr>
          <w:rFonts w:eastAsia="宋体"/>
          <w:color w:val="FF0000"/>
          <w:sz w:val="39"/>
          <w:szCs w:val="39"/>
        </w:rPr>
      </w:pPr>
      <w:r>
        <w:rPr>
          <w:rFonts w:hint="eastAsia" w:ascii="宋体" w:eastAsia="宋体"/>
          <w:color w:val="FF0000"/>
          <w:spacing w:val="-5"/>
        </w:rPr>
        <w:t>分析目前的行业环境对企业有何影响。具体包括对行业现状、行业结构、行</w:t>
      </w:r>
      <w:r>
        <w:rPr>
          <w:rFonts w:hint="eastAsia" w:ascii="宋体" w:eastAsia="宋体"/>
          <w:color w:val="FF0000"/>
          <w:spacing w:val="-7"/>
        </w:rPr>
        <w:t>业的资本及市场结构的分析。分析该行业当前的困境及市场竞争的情况，展现出</w:t>
      </w:r>
      <w:r>
        <w:rPr>
          <w:rFonts w:hint="eastAsia" w:ascii="宋体" w:eastAsia="宋体"/>
          <w:color w:val="FF0000"/>
        </w:rPr>
        <w:t>当前行业的形势。</w:t>
      </w:r>
    </w:p>
    <w:p w14:paraId="5749EB87">
      <w:pPr>
        <w:pStyle w:val="3"/>
        <w:tabs>
          <w:tab w:val="left" w:pos="612"/>
        </w:tabs>
        <w:spacing w:line="360" w:lineRule="auto"/>
        <w:ind w:left="0" w:firstLine="0"/>
        <w:rPr>
          <w:sz w:val="39"/>
        </w:rPr>
      </w:pPr>
      <w:bookmarkStart w:id="2" w:name="_Toc13352"/>
      <w:r>
        <w:rPr>
          <w:rFonts w:hint="eastAsia"/>
        </w:rPr>
        <w:t>3</w:t>
      </w:r>
      <w:r>
        <w:t>.2  市场需求分析</w:t>
      </w:r>
      <w:bookmarkEnd w:id="2"/>
    </w:p>
    <w:p w14:paraId="46DD56D8">
      <w:pPr>
        <w:pStyle w:val="5"/>
        <w:spacing w:line="360" w:lineRule="auto"/>
        <w:ind w:firstLine="460" w:firstLineChars="200"/>
        <w:rPr>
          <w:rFonts w:hint="eastAsia" w:ascii="宋体" w:eastAsia="宋体"/>
          <w:color w:val="FF0000"/>
          <w:spacing w:val="-5"/>
        </w:rPr>
      </w:pPr>
      <w:r>
        <w:rPr>
          <w:rFonts w:hint="eastAsia" w:ascii="宋体" w:eastAsia="宋体"/>
          <w:color w:val="FF0000"/>
          <w:spacing w:val="-5"/>
        </w:rPr>
        <w:t>结合项目自身特点和市场情况对该项目在市场上的需求情况进行分析。</w:t>
      </w:r>
    </w:p>
    <w:p w14:paraId="56E0D855">
      <w:pPr>
        <w:pStyle w:val="3"/>
        <w:tabs>
          <w:tab w:val="left" w:pos="684"/>
        </w:tabs>
        <w:spacing w:line="360" w:lineRule="auto"/>
        <w:ind w:left="0" w:firstLine="0"/>
        <w:rPr>
          <w:sz w:val="39"/>
        </w:rPr>
      </w:pPr>
      <w:bookmarkStart w:id="3" w:name="_Toc10200"/>
      <w:r>
        <w:rPr>
          <w:rFonts w:hint="eastAsia"/>
        </w:rPr>
        <w:t>3</w:t>
      </w:r>
      <w:r>
        <w:t>.3  可行性分析</w:t>
      </w:r>
      <w:bookmarkEnd w:id="3"/>
    </w:p>
    <w:p w14:paraId="22099C48">
      <w:pPr>
        <w:pStyle w:val="4"/>
        <w:tabs>
          <w:tab w:val="left" w:pos="1025"/>
        </w:tabs>
        <w:spacing w:line="360" w:lineRule="auto"/>
        <w:ind w:left="0" w:firstLine="482" w:firstLineChars="200"/>
        <w:rPr>
          <w:sz w:val="35"/>
        </w:rPr>
      </w:pPr>
      <w:bookmarkStart w:id="4" w:name="_Toc26782"/>
      <w:r>
        <w:rPr>
          <w:rFonts w:hint="eastAsia"/>
        </w:rPr>
        <w:t>3</w:t>
      </w:r>
      <w:r>
        <w:t>.3.1  市场可行性分析</w:t>
      </w:r>
      <w:bookmarkEnd w:id="4"/>
    </w:p>
    <w:p w14:paraId="320354F1">
      <w:pPr>
        <w:pStyle w:val="5"/>
        <w:spacing w:line="360" w:lineRule="auto"/>
        <w:ind w:firstLine="460" w:firstLineChars="200"/>
        <w:rPr>
          <w:rFonts w:hint="eastAsia" w:ascii="宋体" w:eastAsia="宋体"/>
          <w:color w:val="FF0000"/>
          <w:spacing w:val="-5"/>
        </w:rPr>
      </w:pPr>
      <w:r>
        <w:rPr>
          <w:rFonts w:hint="eastAsia" w:ascii="宋体" w:eastAsia="宋体"/>
          <w:color w:val="FF0000"/>
          <w:spacing w:val="-5"/>
        </w:rPr>
        <w:t>主要根据市场调查及预测的结果，有关的产业政策等因素，分析项目对社会的影响。包括政治体制、方针政策、经济结构、法律道德、宗教民族、妇女儿童及社会稳定性等。</w:t>
      </w:r>
    </w:p>
    <w:p w14:paraId="6E4945FA">
      <w:pPr>
        <w:pStyle w:val="4"/>
        <w:tabs>
          <w:tab w:val="left" w:pos="1126"/>
        </w:tabs>
        <w:spacing w:line="360" w:lineRule="auto"/>
        <w:ind w:left="0" w:firstLine="482" w:firstLineChars="200"/>
        <w:rPr>
          <w:sz w:val="32"/>
        </w:rPr>
      </w:pPr>
      <w:bookmarkStart w:id="5" w:name="_Toc17599"/>
      <w:r>
        <w:rPr>
          <w:rFonts w:hint="eastAsia"/>
        </w:rPr>
        <w:t>3</w:t>
      </w:r>
      <w:r>
        <w:t>.3.2  技术可行性分析</w:t>
      </w:r>
      <w:bookmarkEnd w:id="5"/>
    </w:p>
    <w:p w14:paraId="08366C0B">
      <w:pPr>
        <w:pStyle w:val="5"/>
        <w:spacing w:line="360" w:lineRule="auto"/>
        <w:ind w:firstLine="460" w:firstLineChars="200"/>
        <w:rPr>
          <w:rFonts w:hint="eastAsia" w:ascii="宋体" w:eastAsia="宋体"/>
          <w:color w:val="FF0000"/>
          <w:spacing w:val="-5"/>
        </w:rPr>
      </w:pPr>
      <w:r>
        <w:rPr>
          <w:rFonts w:hint="eastAsia" w:ascii="宋体" w:eastAsia="宋体"/>
          <w:color w:val="FF0000"/>
          <w:spacing w:val="-5"/>
        </w:rPr>
        <w:t>主要从项目实施的技术角度，合理设计技术方案，并进行比选、评价和分析。</w:t>
      </w:r>
    </w:p>
    <w:p w14:paraId="4F391E35">
      <w:pPr>
        <w:pStyle w:val="4"/>
        <w:tabs>
          <w:tab w:val="left" w:pos="1126"/>
        </w:tabs>
        <w:spacing w:line="360" w:lineRule="auto"/>
        <w:ind w:left="0" w:firstLine="482" w:firstLineChars="200"/>
        <w:rPr>
          <w:sz w:val="32"/>
        </w:rPr>
      </w:pPr>
      <w:bookmarkStart w:id="6" w:name="_Toc16174"/>
      <w:r>
        <w:rPr>
          <w:rFonts w:hint="eastAsia"/>
        </w:rPr>
        <w:t>3</w:t>
      </w:r>
      <w:r>
        <w:t>.3.3  经济可行性分析</w:t>
      </w:r>
      <w:bookmarkEnd w:id="6"/>
    </w:p>
    <w:p w14:paraId="6999B527">
      <w:pPr>
        <w:pStyle w:val="5"/>
        <w:spacing w:line="360" w:lineRule="auto"/>
        <w:ind w:firstLine="460" w:firstLineChars="200"/>
        <w:rPr>
          <w:rFonts w:hint="eastAsia" w:ascii="宋体" w:eastAsia="宋体"/>
          <w:color w:val="FF0000"/>
          <w:spacing w:val="-5"/>
        </w:rPr>
      </w:pPr>
      <w:r>
        <w:rPr>
          <w:rFonts w:hint="eastAsia" w:ascii="宋体" w:eastAsia="宋体"/>
          <w:color w:val="FF0000"/>
          <w:spacing w:val="-5"/>
        </w:rPr>
        <w:t>从资源配置的角度衡量项目的价值，评价项目在实现区域经济发展目标、有效配置经济资源、增加供应、创造就业、改善环境、提高人民生活等方面的效益。</w:t>
      </w:r>
    </w:p>
    <w:p w14:paraId="057A3466">
      <w:pPr>
        <w:pStyle w:val="3"/>
        <w:tabs>
          <w:tab w:val="left" w:pos="684"/>
        </w:tabs>
        <w:spacing w:line="360" w:lineRule="auto"/>
        <w:ind w:left="0" w:firstLine="0"/>
        <w:rPr>
          <w:sz w:val="36"/>
        </w:rPr>
      </w:pPr>
      <w:bookmarkStart w:id="7" w:name="_Toc9437"/>
      <w:r>
        <w:t>3.4  SWOT</w:t>
      </w:r>
      <w:r>
        <w:rPr>
          <w:spacing w:val="-25"/>
        </w:rPr>
        <w:t xml:space="preserve"> 分析</w:t>
      </w:r>
      <w:bookmarkEnd w:id="7"/>
    </w:p>
    <w:p w14:paraId="0D26FFA6">
      <w:pPr>
        <w:pStyle w:val="4"/>
        <w:tabs>
          <w:tab w:val="left" w:pos="1085"/>
        </w:tabs>
        <w:spacing w:line="360" w:lineRule="auto"/>
        <w:ind w:left="0" w:firstLine="458" w:firstLineChars="200"/>
      </w:pPr>
      <w:bookmarkStart w:id="8" w:name="_Toc12431"/>
      <w:r>
        <w:rPr>
          <w:rFonts w:hint="eastAsia"/>
          <w:w w:val="95"/>
        </w:rPr>
        <w:t>3</w:t>
      </w:r>
      <w:r>
        <w:rPr>
          <w:w w:val="95"/>
        </w:rPr>
        <w:t>.4.1  优势（strength）</w:t>
      </w:r>
      <w:bookmarkEnd w:id="8"/>
    </w:p>
    <w:p w14:paraId="2C99C91B">
      <w:pPr>
        <w:tabs>
          <w:tab w:val="left" w:pos="1085"/>
        </w:tabs>
        <w:spacing w:line="360" w:lineRule="auto"/>
        <w:ind w:firstLine="458" w:firstLineChars="200"/>
        <w:outlineLvl w:val="2"/>
        <w:rPr>
          <w:rFonts w:ascii="宋体" w:hAnsi="宋体" w:eastAsia="宋体"/>
          <w:b/>
          <w:sz w:val="24"/>
          <w:szCs w:val="24"/>
        </w:rPr>
      </w:pPr>
      <w:bookmarkStart w:id="9" w:name="_Toc25645"/>
      <w:r>
        <w:rPr>
          <w:rFonts w:hint="eastAsia" w:ascii="宋体" w:hAnsi="宋体" w:eastAsia="宋体" w:cs="宋体"/>
          <w:b/>
          <w:w w:val="95"/>
          <w:sz w:val="24"/>
          <w:szCs w:val="24"/>
        </w:rPr>
        <w:t>3</w:t>
      </w:r>
      <w:r>
        <w:rPr>
          <w:rFonts w:ascii="宋体" w:hAnsi="宋体" w:eastAsia="宋体" w:cs="宋体"/>
          <w:b/>
          <w:w w:val="95"/>
          <w:sz w:val="24"/>
          <w:szCs w:val="24"/>
        </w:rPr>
        <w:t xml:space="preserve">.4.2  </w:t>
      </w:r>
      <w:r>
        <w:rPr>
          <w:rFonts w:hint="eastAsia" w:ascii="宋体" w:hAnsi="宋体" w:eastAsia="宋体" w:cs="宋体"/>
          <w:b/>
          <w:w w:val="95"/>
          <w:sz w:val="24"/>
          <w:szCs w:val="24"/>
        </w:rPr>
        <w:t>劣势（</w:t>
      </w:r>
      <w:r>
        <w:rPr>
          <w:rFonts w:ascii="宋体" w:hAnsi="宋体" w:eastAsia="宋体"/>
          <w:b/>
          <w:w w:val="95"/>
          <w:sz w:val="24"/>
          <w:szCs w:val="24"/>
        </w:rPr>
        <w:t>weakness</w:t>
      </w:r>
      <w:r>
        <w:rPr>
          <w:rFonts w:hint="eastAsia" w:ascii="宋体" w:hAnsi="宋体" w:eastAsia="宋体" w:cs="宋体"/>
          <w:b/>
          <w:w w:val="95"/>
          <w:sz w:val="24"/>
          <w:szCs w:val="24"/>
        </w:rPr>
        <w:t>）</w:t>
      </w:r>
      <w:bookmarkEnd w:id="9"/>
    </w:p>
    <w:p w14:paraId="1D6C21BB">
      <w:pPr>
        <w:tabs>
          <w:tab w:val="left" w:pos="1085"/>
        </w:tabs>
        <w:spacing w:line="360" w:lineRule="auto"/>
        <w:ind w:firstLine="482" w:firstLineChars="200"/>
        <w:outlineLvl w:val="2"/>
        <w:rPr>
          <w:rFonts w:ascii="宋体" w:hAnsi="宋体" w:eastAsia="宋体"/>
          <w:b/>
          <w:sz w:val="24"/>
          <w:szCs w:val="24"/>
        </w:rPr>
      </w:pPr>
      <w:bookmarkStart w:id="10" w:name="_Toc24165"/>
      <w:r>
        <w:rPr>
          <w:rFonts w:hint="eastAsia" w:ascii="宋体" w:hAnsi="宋体" w:eastAsia="宋体" w:cs="宋体"/>
          <w:b/>
          <w:sz w:val="24"/>
          <w:szCs w:val="24"/>
        </w:rPr>
        <w:t>3</w:t>
      </w:r>
      <w:r>
        <w:rPr>
          <w:rFonts w:ascii="宋体" w:hAnsi="宋体" w:eastAsia="宋体" w:cs="宋体"/>
          <w:b/>
          <w:sz w:val="24"/>
          <w:szCs w:val="24"/>
        </w:rPr>
        <w:t xml:space="preserve">.4.3 </w:t>
      </w:r>
      <w:r>
        <w:rPr>
          <w:rFonts w:hint="eastAsia" w:ascii="宋体" w:hAnsi="宋体" w:eastAsia="宋体" w:cs="宋体"/>
          <w:b/>
          <w:sz w:val="24"/>
          <w:szCs w:val="24"/>
        </w:rPr>
        <w:t>机会（</w:t>
      </w:r>
      <w:r>
        <w:rPr>
          <w:rFonts w:ascii="宋体" w:hAnsi="宋体" w:eastAsia="宋体"/>
          <w:b/>
          <w:sz w:val="24"/>
          <w:szCs w:val="24"/>
        </w:rPr>
        <w:t>opportunity</w:t>
      </w:r>
      <w:r>
        <w:rPr>
          <w:rFonts w:hint="eastAsia" w:ascii="宋体" w:hAnsi="宋体" w:eastAsia="宋体" w:cs="宋体"/>
          <w:b/>
          <w:sz w:val="24"/>
          <w:szCs w:val="24"/>
        </w:rPr>
        <w:t>）</w:t>
      </w:r>
      <w:bookmarkEnd w:id="10"/>
    </w:p>
    <w:p w14:paraId="7A05F3AE">
      <w:pPr>
        <w:tabs>
          <w:tab w:val="left" w:pos="1085"/>
        </w:tabs>
        <w:spacing w:line="360" w:lineRule="auto"/>
        <w:ind w:firstLine="482" w:firstLineChars="200"/>
        <w:outlineLvl w:val="2"/>
        <w:rPr>
          <w:rFonts w:ascii="宋体" w:hAnsi="宋体" w:eastAsia="宋体"/>
          <w:b/>
          <w:sz w:val="24"/>
          <w:szCs w:val="24"/>
        </w:rPr>
      </w:pPr>
      <w:bookmarkStart w:id="11" w:name="_Toc9461"/>
      <w:r>
        <w:rPr>
          <w:rFonts w:hint="eastAsia" w:ascii="宋体" w:hAnsi="宋体" w:eastAsia="宋体" w:cs="宋体"/>
          <w:b/>
          <w:sz w:val="24"/>
          <w:szCs w:val="24"/>
        </w:rPr>
        <w:t>3</w:t>
      </w:r>
      <w:r>
        <w:rPr>
          <w:rFonts w:ascii="宋体" w:hAnsi="宋体" w:eastAsia="宋体" w:cs="宋体"/>
          <w:b/>
          <w:sz w:val="24"/>
          <w:szCs w:val="24"/>
        </w:rPr>
        <w:t xml:space="preserve">.4.4 </w:t>
      </w:r>
      <w:r>
        <w:rPr>
          <w:rFonts w:hint="eastAsia" w:ascii="宋体" w:hAnsi="宋体" w:eastAsia="宋体" w:cs="宋体"/>
          <w:b/>
          <w:sz w:val="24"/>
          <w:szCs w:val="24"/>
        </w:rPr>
        <w:t>威胁（</w:t>
      </w:r>
      <w:r>
        <w:rPr>
          <w:rFonts w:ascii="宋体" w:hAnsi="宋体" w:eastAsia="宋体"/>
          <w:b/>
          <w:sz w:val="24"/>
          <w:szCs w:val="24"/>
        </w:rPr>
        <w:t>threatens</w:t>
      </w:r>
      <w:r>
        <w:rPr>
          <w:rFonts w:hint="eastAsia" w:ascii="宋体" w:hAnsi="宋体" w:eastAsia="宋体" w:cs="宋体"/>
          <w:b/>
          <w:sz w:val="24"/>
          <w:szCs w:val="24"/>
        </w:rPr>
        <w:t>）</w:t>
      </w:r>
      <w:bookmarkEnd w:id="11"/>
    </w:p>
    <w:p w14:paraId="4778E67E">
      <w:pPr>
        <w:pStyle w:val="3"/>
        <w:tabs>
          <w:tab w:val="left" w:pos="684"/>
        </w:tabs>
        <w:spacing w:line="360" w:lineRule="auto"/>
        <w:ind w:left="0" w:firstLine="0"/>
        <w:rPr>
          <w:spacing w:val="-25"/>
        </w:rPr>
      </w:pPr>
      <w:bookmarkStart w:id="12" w:name="_Toc5194"/>
      <w:r>
        <w:rPr>
          <w:spacing w:val="-25"/>
        </w:rPr>
        <w:t xml:space="preserve">3.5   </w:t>
      </w:r>
      <w:r>
        <w:t>SWOT</w:t>
      </w:r>
      <w:r>
        <w:rPr>
          <w:spacing w:val="-25"/>
        </w:rPr>
        <w:t xml:space="preserve"> </w:t>
      </w:r>
      <w:r>
        <w:rPr>
          <w:rFonts w:hint="eastAsia"/>
          <w:spacing w:val="-25"/>
        </w:rPr>
        <w:t>战略</w:t>
      </w:r>
      <w:bookmarkEnd w:id="12"/>
    </w:p>
    <w:p w14:paraId="3CC834D4">
      <w:pPr>
        <w:tabs>
          <w:tab w:val="left" w:pos="1085"/>
        </w:tabs>
        <w:spacing w:line="360" w:lineRule="auto"/>
        <w:ind w:firstLine="482" w:firstLineChars="200"/>
        <w:outlineLvl w:val="2"/>
        <w:rPr>
          <w:rFonts w:ascii="宋体" w:hAnsi="宋体" w:eastAsia="宋体" w:cs="宋体"/>
          <w:b/>
          <w:sz w:val="24"/>
          <w:szCs w:val="24"/>
        </w:rPr>
      </w:pPr>
      <w:bookmarkStart w:id="13" w:name="_Toc5420"/>
      <w:r>
        <w:rPr>
          <w:rFonts w:ascii="宋体" w:hAnsi="宋体" w:eastAsia="宋体" w:cs="宋体"/>
          <w:b/>
          <w:sz w:val="24"/>
          <w:szCs w:val="24"/>
        </w:rPr>
        <w:t xml:space="preserve">3.5.1  S-O </w:t>
      </w:r>
      <w:r>
        <w:rPr>
          <w:rFonts w:hint="eastAsia" w:ascii="宋体" w:hAnsi="宋体" w:eastAsia="宋体" w:cs="宋体"/>
          <w:b/>
          <w:sz w:val="24"/>
          <w:szCs w:val="24"/>
        </w:rPr>
        <w:t>战略</w:t>
      </w:r>
      <w:bookmarkEnd w:id="13"/>
    </w:p>
    <w:p w14:paraId="393EE885">
      <w:pPr>
        <w:tabs>
          <w:tab w:val="left" w:pos="1085"/>
        </w:tabs>
        <w:spacing w:line="360" w:lineRule="auto"/>
        <w:ind w:firstLine="482" w:firstLineChars="200"/>
        <w:outlineLvl w:val="2"/>
        <w:rPr>
          <w:rFonts w:ascii="宋体" w:hAnsi="宋体" w:eastAsia="宋体" w:cs="宋体"/>
          <w:b/>
          <w:sz w:val="24"/>
          <w:szCs w:val="24"/>
        </w:rPr>
      </w:pPr>
      <w:bookmarkStart w:id="14" w:name="_Toc7701"/>
      <w:r>
        <w:rPr>
          <w:rFonts w:ascii="宋体" w:hAnsi="宋体" w:eastAsia="宋体" w:cs="宋体"/>
          <w:b/>
          <w:sz w:val="24"/>
          <w:szCs w:val="24"/>
        </w:rPr>
        <w:t>3.5.2  W-O 战略</w:t>
      </w:r>
      <w:bookmarkEnd w:id="14"/>
    </w:p>
    <w:p w14:paraId="27381CD2">
      <w:pPr>
        <w:tabs>
          <w:tab w:val="left" w:pos="1085"/>
        </w:tabs>
        <w:spacing w:line="360" w:lineRule="auto"/>
        <w:ind w:firstLine="482" w:firstLineChars="200"/>
        <w:outlineLvl w:val="2"/>
        <w:rPr>
          <w:rFonts w:ascii="宋体" w:hAnsi="宋体" w:eastAsia="宋体" w:cs="宋体"/>
          <w:b/>
          <w:sz w:val="24"/>
          <w:szCs w:val="24"/>
        </w:rPr>
      </w:pPr>
      <w:bookmarkStart w:id="15" w:name="_Toc14364"/>
      <w:r>
        <w:rPr>
          <w:rFonts w:ascii="宋体" w:hAnsi="宋体" w:eastAsia="宋体" w:cs="宋体"/>
          <w:b/>
          <w:sz w:val="24"/>
          <w:szCs w:val="24"/>
        </w:rPr>
        <w:t>3.5.3  S-T 战略</w:t>
      </w:r>
      <w:bookmarkEnd w:id="15"/>
    </w:p>
    <w:p w14:paraId="5FA8FB1C">
      <w:pPr>
        <w:pStyle w:val="3"/>
        <w:spacing w:line="360" w:lineRule="auto"/>
        <w:ind w:left="0" w:firstLine="0"/>
        <w:rPr>
          <w:lang w:val="en-US"/>
        </w:rPr>
      </w:pPr>
      <w:bookmarkStart w:id="16" w:name="_Toc1390"/>
      <w:r>
        <w:rPr>
          <w:rFonts w:hint="eastAsia"/>
          <w:lang w:val="en-US"/>
        </w:rPr>
        <w:t>3.</w:t>
      </w:r>
      <w:r>
        <w:rPr>
          <w:lang w:val="en-US"/>
        </w:rPr>
        <w:t xml:space="preserve">6  </w:t>
      </w:r>
      <w:r>
        <w:rPr>
          <w:rFonts w:hint="eastAsia"/>
          <w:lang w:val="en-US"/>
        </w:rPr>
        <w:t>市场环境</w:t>
      </w:r>
      <w:bookmarkEnd w:id="16"/>
    </w:p>
    <w:p w14:paraId="042FDF6A">
      <w:pPr>
        <w:pStyle w:val="4"/>
        <w:spacing w:line="360" w:lineRule="auto"/>
        <w:ind w:left="0" w:firstLine="482" w:firstLineChars="200"/>
        <w:rPr>
          <w:lang w:val="en-US"/>
        </w:rPr>
      </w:pPr>
      <w:bookmarkStart w:id="17" w:name="_Toc24113"/>
      <w:r>
        <w:rPr>
          <w:rFonts w:hint="eastAsia"/>
          <w:lang w:val="en-US"/>
        </w:rPr>
        <w:t>3.6.1</w:t>
      </w:r>
      <w:r>
        <w:rPr>
          <w:lang w:val="en-US"/>
        </w:rPr>
        <w:t xml:space="preserve">  </w:t>
      </w:r>
      <w:r>
        <w:rPr>
          <w:rFonts w:hint="eastAsia"/>
          <w:lang w:val="en-US"/>
        </w:rPr>
        <w:t>政策环境</w:t>
      </w:r>
      <w:bookmarkEnd w:id="17"/>
      <w:r>
        <w:rPr>
          <w:rFonts w:hint="eastAsia"/>
          <w:lang w:val="en-US"/>
        </w:rPr>
        <w:t xml:space="preserve"> </w:t>
      </w:r>
    </w:p>
    <w:p w14:paraId="3E84B19A">
      <w:pPr>
        <w:pStyle w:val="5"/>
        <w:spacing w:line="360" w:lineRule="auto"/>
        <w:ind w:firstLine="460" w:firstLineChars="200"/>
        <w:rPr>
          <w:rFonts w:hint="eastAsia" w:ascii="宋体" w:eastAsia="宋体"/>
          <w:color w:val="FF0000"/>
          <w:spacing w:val="-5"/>
        </w:rPr>
      </w:pPr>
      <w:r>
        <w:rPr>
          <w:rFonts w:hint="eastAsia" w:ascii="宋体" w:eastAsia="宋体"/>
          <w:color w:val="FF0000"/>
          <w:spacing w:val="-5"/>
        </w:rPr>
        <w:t xml:space="preserve">包括政治体制、经济体制、政府的管制、税法的改变、投资的政策等。 </w:t>
      </w:r>
    </w:p>
    <w:p w14:paraId="017E1F25">
      <w:pPr>
        <w:pStyle w:val="4"/>
        <w:spacing w:line="360" w:lineRule="auto"/>
        <w:ind w:left="0" w:firstLine="482" w:firstLineChars="200"/>
        <w:rPr>
          <w:lang w:val="en-US"/>
        </w:rPr>
      </w:pPr>
      <w:bookmarkStart w:id="18" w:name="_Toc6385"/>
      <w:r>
        <w:rPr>
          <w:rFonts w:hint="eastAsia"/>
          <w:lang w:val="en-US"/>
        </w:rPr>
        <w:t xml:space="preserve">3.6.2 </w:t>
      </w:r>
      <w:r>
        <w:rPr>
          <w:lang w:val="en-US"/>
        </w:rPr>
        <w:t xml:space="preserve"> </w:t>
      </w:r>
      <w:r>
        <w:rPr>
          <w:rFonts w:hint="eastAsia"/>
          <w:lang w:val="en-US"/>
        </w:rPr>
        <w:t>经济环境</w:t>
      </w:r>
      <w:bookmarkEnd w:id="18"/>
      <w:r>
        <w:rPr>
          <w:rFonts w:hint="eastAsia"/>
          <w:lang w:val="en-US"/>
        </w:rPr>
        <w:t xml:space="preserve"> </w:t>
      </w:r>
    </w:p>
    <w:p w14:paraId="15CC9AE7">
      <w:pPr>
        <w:pStyle w:val="5"/>
        <w:spacing w:line="360" w:lineRule="auto"/>
        <w:ind w:firstLine="460" w:firstLineChars="200"/>
        <w:rPr>
          <w:rFonts w:hint="eastAsia" w:ascii="宋体" w:eastAsia="宋体"/>
          <w:color w:val="FF0000"/>
          <w:spacing w:val="-5"/>
        </w:rPr>
      </w:pPr>
      <w:r>
        <w:rPr>
          <w:rFonts w:hint="eastAsia" w:ascii="宋体" w:eastAsia="宋体"/>
          <w:color w:val="FF0000"/>
          <w:spacing w:val="-5"/>
          <w:lang w:val="en-US"/>
        </w:rPr>
        <w:t>（</w:t>
      </w:r>
      <w:r>
        <w:rPr>
          <w:rFonts w:hint="eastAsia" w:ascii="宋体" w:eastAsia="宋体"/>
          <w:color w:val="FF0000"/>
          <w:spacing w:val="-5"/>
        </w:rPr>
        <w:t xml:space="preserve">1）宏观经济环境：国家的人口数量及其增长趋势，国民收入、国民生产总值及其变化情况以及通过这些指标能够反映的国民经济发展水平和发展速度。结合项目本身做针对性分析。 </w:t>
      </w:r>
    </w:p>
    <w:p w14:paraId="654817C6">
      <w:pPr>
        <w:pStyle w:val="5"/>
        <w:spacing w:line="360" w:lineRule="auto"/>
        <w:ind w:firstLine="460" w:firstLineChars="200"/>
        <w:rPr>
          <w:rFonts w:hint="eastAsia" w:ascii="宋体" w:eastAsia="宋体"/>
          <w:color w:val="FF0000"/>
          <w:spacing w:val="-5"/>
        </w:rPr>
      </w:pPr>
      <w:r>
        <w:rPr>
          <w:rFonts w:hint="eastAsia" w:ascii="宋体" w:eastAsia="宋体"/>
          <w:color w:val="FF0000"/>
          <w:spacing w:val="-5"/>
        </w:rPr>
        <w:t>（2）微观经济环境：企业所在地区或所服务地区的消费者的收人水平、消费偏好、储蓄情况和就业程度等因素。结合项目本身做针对性分析。</w:t>
      </w:r>
    </w:p>
    <w:p w14:paraId="53FFD67A">
      <w:pPr>
        <w:pStyle w:val="4"/>
        <w:spacing w:line="360" w:lineRule="auto"/>
        <w:ind w:left="0" w:firstLine="482" w:firstLineChars="200"/>
        <w:rPr>
          <w:lang w:val="en-US"/>
        </w:rPr>
      </w:pPr>
      <w:bookmarkStart w:id="19" w:name="_Toc17417"/>
      <w:r>
        <w:rPr>
          <w:rFonts w:hint="eastAsia"/>
          <w:lang w:val="en-US"/>
        </w:rPr>
        <w:t xml:space="preserve">3.6.3 </w:t>
      </w:r>
      <w:r>
        <w:rPr>
          <w:lang w:val="en-US"/>
        </w:rPr>
        <w:t xml:space="preserve"> </w:t>
      </w:r>
      <w:r>
        <w:rPr>
          <w:rFonts w:hint="eastAsia"/>
          <w:lang w:val="en-US"/>
        </w:rPr>
        <w:t>社会环境</w:t>
      </w:r>
      <w:bookmarkEnd w:id="19"/>
      <w:r>
        <w:rPr>
          <w:rFonts w:hint="eastAsia"/>
          <w:lang w:val="en-US"/>
        </w:rPr>
        <w:t xml:space="preserve"> </w:t>
      </w:r>
    </w:p>
    <w:p w14:paraId="4C4D7AFB">
      <w:pPr>
        <w:pStyle w:val="5"/>
        <w:spacing w:line="360" w:lineRule="auto"/>
        <w:ind w:firstLine="460" w:firstLineChars="200"/>
        <w:rPr>
          <w:rFonts w:hint="eastAsia" w:ascii="宋体" w:eastAsia="宋体"/>
          <w:color w:val="FF0000"/>
          <w:spacing w:val="-5"/>
          <w:lang w:val="en-US"/>
        </w:rPr>
      </w:pPr>
      <w:r>
        <w:rPr>
          <w:rFonts w:hint="eastAsia" w:ascii="宋体" w:eastAsia="宋体"/>
          <w:color w:val="FF0000"/>
          <w:spacing w:val="-5"/>
          <w:lang w:val="en-US"/>
        </w:rPr>
        <w:t>所在社会中成员的民族特征、文化传统、价值观念、宗教信仰、教育水平以及风俗习惯、人口规模、年龄结构、种族结构、收入分布、消费结构和水平、人口流动性等因素。</w:t>
      </w:r>
    </w:p>
    <w:p w14:paraId="7B6B9648">
      <w:pPr>
        <w:pStyle w:val="4"/>
        <w:spacing w:line="360" w:lineRule="auto"/>
        <w:ind w:left="0" w:firstLine="482" w:firstLineChars="200"/>
      </w:pPr>
      <w:bookmarkStart w:id="20" w:name="_Toc29033"/>
      <w:r>
        <w:t>3.6.4</w:t>
      </w:r>
      <w:r>
        <w:rPr>
          <w:spacing w:val="-14"/>
        </w:rPr>
        <w:t xml:space="preserve">  技术环境</w:t>
      </w:r>
      <w:bookmarkEnd w:id="20"/>
    </w:p>
    <w:p w14:paraId="753F4F5B">
      <w:pPr>
        <w:pStyle w:val="5"/>
        <w:spacing w:line="360" w:lineRule="auto"/>
        <w:ind w:firstLine="460" w:firstLineChars="200"/>
        <w:rPr>
          <w:rFonts w:hint="eastAsia" w:ascii="宋体" w:eastAsia="宋体"/>
          <w:color w:val="FF0000"/>
          <w:spacing w:val="-5"/>
          <w:lang w:val="en-US"/>
        </w:rPr>
      </w:pPr>
      <w:r>
        <w:rPr>
          <w:rFonts w:hint="eastAsia" w:ascii="宋体" w:eastAsia="宋体"/>
          <w:color w:val="FF0000"/>
          <w:spacing w:val="-5"/>
          <w:lang w:val="en-US"/>
        </w:rPr>
        <w:t>分析与企业所处领域的活动直接相关的技术手段的发展变化，以及国家对科技开发的投资和支持重点，与企业生产有关的新技术、新工艺、新材料的出现和发展趋势以及应用前景，技术转移和技术商品化速度，专利及其保护情况等。</w:t>
      </w:r>
    </w:p>
    <w:p w14:paraId="5632A6A8">
      <w:bookmarkStart w:id="21" w:name="_GoBack"/>
      <w:bookmarkEnd w:id="2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533D5"/>
    <w:rsid w:val="76753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zh-CN" w:eastAsia="zh-CN" w:bidi="zh-CN"/>
    </w:rPr>
  </w:style>
  <w:style w:type="paragraph" w:styleId="2">
    <w:name w:val="heading 1"/>
    <w:basedOn w:val="1"/>
    <w:next w:val="1"/>
    <w:qFormat/>
    <w:uiPriority w:val="1"/>
    <w:pPr>
      <w:ind w:left="120"/>
      <w:outlineLvl w:val="0"/>
    </w:pPr>
    <w:rPr>
      <w:rFonts w:ascii="宋体" w:hAnsi="宋体" w:eastAsia="宋体" w:cs="宋体"/>
      <w:b/>
      <w:bCs/>
      <w:sz w:val="32"/>
      <w:szCs w:val="32"/>
    </w:rPr>
  </w:style>
  <w:style w:type="paragraph" w:styleId="3">
    <w:name w:val="heading 2"/>
    <w:basedOn w:val="1"/>
    <w:next w:val="1"/>
    <w:qFormat/>
    <w:uiPriority w:val="1"/>
    <w:pPr>
      <w:ind w:left="684" w:hanging="564"/>
      <w:outlineLvl w:val="1"/>
    </w:pPr>
    <w:rPr>
      <w:rFonts w:ascii="宋体" w:hAnsi="宋体" w:eastAsia="宋体" w:cs="宋体"/>
      <w:b/>
      <w:bCs/>
      <w:sz w:val="28"/>
      <w:szCs w:val="28"/>
    </w:rPr>
  </w:style>
  <w:style w:type="paragraph" w:styleId="4">
    <w:name w:val="heading 3"/>
    <w:basedOn w:val="1"/>
    <w:next w:val="1"/>
    <w:qFormat/>
    <w:uiPriority w:val="1"/>
    <w:pPr>
      <w:ind w:left="1084" w:hanging="725"/>
      <w:outlineLvl w:val="2"/>
    </w:pPr>
    <w:rPr>
      <w:rFonts w:ascii="宋体" w:hAnsi="宋体" w:eastAsia="宋体" w:cs="宋体"/>
      <w:b/>
      <w:bCs/>
      <w:sz w:val="24"/>
      <w:szCs w:val="2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2025-05-17T14:41:00Z</dcterms:created>
  <dc:creator>刘梓杰</dc:creator>
  <cp:lastModifiedBy>刘梓杰</cp:lastModifiedBy>
  <dcterms:modified xsi:type="dcterms:W3CDTF">2025-05-17T14:42:39Z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BC5D073584F440AF94F2C432E38FE87B_11</vt:lpwstr>
  </property>
  <property fmtid="{D5CDD505-2E9C-101B-9397-08002B2CF9AE}" pid="4" name="KSOTemplateDocerSaveRecord">
    <vt:lpwstr>eyJoZGlkIjoiZjg5YTQ0YTE4NjdlNDdjNjg1NmUzNWU1OGIxNTgyZmUiLCJ1c2VySWQiOiIxMzcwMDIzOTQ0In0=</vt:lpwstr>
  </property>
</Properties>
</file>